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5B" w:rsidRDefault="00A0192D" w:rsidP="00A17E32">
      <w:pPr>
        <w:pStyle w:val="Titre"/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0E0DC9FB" wp14:editId="420A55F6">
            <wp:extent cx="394863" cy="461175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6" cy="51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2FFEB6E" wp14:editId="6EF7B9D1">
            <wp:extent cx="735229" cy="453224"/>
            <wp:effectExtent l="0" t="0" r="825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00" cy="52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E32">
        <w:t xml:space="preserve">  </w:t>
      </w:r>
    </w:p>
    <w:p w:rsidR="00A0192D" w:rsidRPr="00A17E32" w:rsidRDefault="00A17E32" w:rsidP="00A17E32">
      <w:pPr>
        <w:pStyle w:val="Titre"/>
        <w:rPr>
          <w:color w:val="4472C4" w:themeColor="accent5"/>
          <w:sz w:val="72"/>
          <w:szCs w:val="72"/>
        </w:rPr>
      </w:pPr>
      <w:r>
        <w:rPr>
          <w:color w:val="4472C4" w:themeColor="accent5"/>
        </w:rPr>
        <w:t xml:space="preserve">2020, ANNÉE DE LA </w:t>
      </w:r>
      <w:r>
        <w:rPr>
          <w:color w:val="4472C4" w:themeColor="accent5"/>
          <w:sz w:val="72"/>
          <w:szCs w:val="72"/>
        </w:rPr>
        <w:t>PAROLE</w:t>
      </w:r>
      <w:r w:rsidR="00E7275B">
        <w:rPr>
          <w:color w:val="4472C4" w:themeColor="accent5"/>
          <w:sz w:val="72"/>
          <w:szCs w:val="72"/>
        </w:rPr>
        <w:t xml:space="preserve"> de DIEU</w:t>
      </w:r>
    </w:p>
    <w:p w:rsidR="00E26E09" w:rsidRPr="00E7275B" w:rsidRDefault="00680F9D" w:rsidP="00A17E32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E7275B">
        <w:rPr>
          <w:rFonts w:ascii="Times New Roman" w:hAnsi="Times New Roman" w:cs="Times New Roman"/>
          <w:b/>
          <w:i/>
          <w:color w:val="00B050"/>
          <w:sz w:val="32"/>
          <w:szCs w:val="32"/>
        </w:rPr>
        <w:t>PRIONS POUR LE</w:t>
      </w:r>
      <w:r w:rsidR="00A0192D" w:rsidRPr="00E7275B">
        <w:rPr>
          <w:rFonts w:ascii="Times New Roman" w:hAnsi="Times New Roman" w:cs="Times New Roman"/>
          <w:b/>
          <w:i/>
          <w:color w:val="00B050"/>
          <w:sz w:val="32"/>
          <w:szCs w:val="32"/>
        </w:rPr>
        <w:t>S VOCATIONS !</w:t>
      </w:r>
    </w:p>
    <w:p w:rsidR="00A17E32" w:rsidRPr="00A17E32" w:rsidRDefault="00B35665" w:rsidP="00A17E32">
      <w:pPr>
        <w:jc w:val="center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>-28 JANVIER</w:t>
      </w:r>
      <w:r w:rsidR="00A17E32"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>-</w:t>
      </w:r>
    </w:p>
    <w:p w:rsidR="00B35665" w:rsidRDefault="00066D68" w:rsidP="00CE42D7">
      <w:pPr>
        <w:shd w:val="clear" w:color="auto" w:fill="FFFFFF"/>
        <w:spacing w:before="30" w:after="150" w:line="288" w:lineRule="atLeast"/>
        <w:jc w:val="center"/>
        <w:outlineLvl w:val="0"/>
        <w:rPr>
          <w:rFonts w:ascii="ArialUnicodeMS" w:eastAsia="ArialUnicodeMS" w:cs="ArialUnicodeMS"/>
          <w:color w:val="663300"/>
          <w:sz w:val="40"/>
          <w:szCs w:val="40"/>
        </w:rPr>
      </w:pPr>
      <w:r w:rsidRPr="00E7275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>Prions et approchons-nous</w:t>
      </w:r>
      <w:r w:rsidR="00A17E32" w:rsidRPr="00E7275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 xml:space="preserve"> </w:t>
      </w:r>
      <w:r w:rsidRPr="00E7275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>des jeunes</w:t>
      </w:r>
      <w:r w:rsidR="00A17E32" w:rsidRPr="00E7275B"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>¡</w:t>
      </w:r>
    </w:p>
    <w:p w:rsidR="00B35665" w:rsidRPr="00B35665" w:rsidRDefault="00F02421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B35665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64. Après avoir consulté la Parole de Dieu, nous ne pouvons pa</w:t>
      </w:r>
      <w:r w:rsid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s seulement dire que les jeunes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sont l’avenir du monde. Ils sont le présent, ils l’enrichissent par leur contribution. Un jeune n’</w:t>
      </w:r>
      <w:r w:rsid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est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plus un enfant, il se trouve dans une période de la vie où il commence à</w:t>
      </w:r>
      <w:r w:rsid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assumer diverses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responsabilités, en participant avec les adultes au développement de la famille, de la société</w:t>
      </w:r>
      <w:r w:rsid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, de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l’Eglise. Mais les temps changent et l’interrogation se fait entendre : Comment sont</w:t>
      </w:r>
      <w:r w:rsid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les jeunes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aujourd’hui, qu’est-ce qui leur arrive à présent ?</w:t>
      </w:r>
    </w:p>
    <w:p w:rsidR="00B35665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</w:p>
    <w:p w:rsidR="00B35665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color w:val="000000"/>
          <w:sz w:val="24"/>
          <w:szCs w:val="24"/>
        </w:rPr>
      </w:pPr>
      <w:r w:rsidRPr="00B35665">
        <w:rPr>
          <w:rFonts w:ascii="Times New Roman" w:eastAsia="ArialUnicodeMS" w:hAnsi="Times New Roman" w:cs="Times New Roman"/>
          <w:b/>
          <w:color w:val="000000"/>
          <w:sz w:val="24"/>
          <w:szCs w:val="24"/>
        </w:rPr>
        <w:t>En positif</w:t>
      </w:r>
      <w:bookmarkStart w:id="0" w:name="_GoBack"/>
      <w:bookmarkEnd w:id="0"/>
    </w:p>
    <w:p w:rsidR="00B35665" w:rsidRPr="00B35665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color w:val="000000"/>
          <w:sz w:val="24"/>
          <w:szCs w:val="24"/>
        </w:rPr>
      </w:pPr>
    </w:p>
    <w:p w:rsidR="00B35665" w:rsidRPr="00CE42D7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65. Le Synode a reconnu que les fidèles de l’Eglise n’ont pas toujours l’attitude de Jé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sus. Au lieu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de nous disposer à les écouter à fond, « la tendance prévaut d’apporter des rép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onses toutes faites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et de proposer des recettes toutes prêtes, sans laisser émerge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r les questions des jeunes dans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leur nouveauté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>, ni saisir ce qu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’elles ont de provocant ».</w:t>
      </w:r>
      <w:r w:rsidR="00CE42D7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 </w:t>
      </w:r>
      <w:r w:rsidRPr="00B35665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Au contraire, quand l’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Eglise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abandonne les schémas rigides et s’ouvre à l’écoute disponible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et attentive des jeunes, cette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empathie l’enrichit car « elle permet aux jeunes d’apporter quelque chose à la communauté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, </w:t>
      </w:r>
      <w:r w:rsidR="00CE42D7" w:rsidRPr="00CE42D7">
        <w:t>en</w:t>
      </w:r>
      <w:r w:rsidR="00CE42D7">
        <w:t xml:space="preserve"> </w:t>
      </w:r>
      <w:r w:rsidRPr="00CE42D7">
        <w:t>l</w:t>
      </w:r>
      <w:r w:rsidRPr="00CE42D7">
        <w:rPr>
          <w:rFonts w:hint="eastAsia"/>
        </w:rPr>
        <w:t>’</w:t>
      </w:r>
      <w:r w:rsidRPr="00CE42D7">
        <w:t>aidant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à percevoir des sensibilités nouvelles et à se poser des questions inédites ».</w:t>
      </w:r>
      <w:r w:rsidR="00CE42D7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 </w:t>
      </w:r>
    </w:p>
    <w:p w:rsidR="00B35665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</w:p>
    <w:p w:rsidR="00B35665" w:rsidRPr="00B35665" w:rsidRDefault="00CE42D7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66.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Aujourd’hui, nous les adultes, nous courons le risque de dresser une liste de calamité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s, de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défauts de la jeunesse actuelle. Certains pourraient nous appla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udir parce que nous semblerions </w:t>
      </w:r>
      <w:r w:rsidR="00B35665"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habiles à trouver des points négatifs et dangereux. Mais quel serait le résultat de cette attitude ?</w:t>
      </w:r>
    </w:p>
    <w:p w:rsidR="00B35665" w:rsidRPr="00B35665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Toujours plus de distance, moins de proximité, moins d’aide mutuelle.</w:t>
      </w:r>
    </w:p>
    <w:p w:rsidR="00CE42D7" w:rsidRDefault="00CE42D7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</w:p>
    <w:p w:rsidR="00A17E32" w:rsidRPr="00CE42D7" w:rsidRDefault="00B35665" w:rsidP="00CE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67. La clairvoyance de ceux qui ont été appelés à être père, paste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ur ou guide des jeunes consiste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à trouver la petite flamme qui continue de brûler, le roseau sur le point de se briser (cf. Is 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42, 3),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mais qui cependant ne se rompt pas encore. C’est la capacité de trouver des chemins là où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d’autres ne voient que des murailles, c’est l’habileté à reconnaître des possibilités là où d’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autres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ne voient que des dangers. Le regard de Dieu le Père est ainsi, capable de valoriser et d’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alimenter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les semences de bien semées dans les 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cœurs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des jeunes. Le 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cœur  de chaque jeune doit donc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être considéré comme une “terre sacrée”, porteuse de semences 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de vie divine devant lesquelles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nous devons “nous déchausser” pour pouvoir nous approcher </w:t>
      </w:r>
      <w:r w:rsidR="00CE42D7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et entrer en profondeur dans le </w:t>
      </w:r>
      <w:r w:rsidRPr="00B35665">
        <w:rPr>
          <w:rFonts w:ascii="Times New Roman" w:eastAsia="ArialUnicodeMS" w:hAnsi="Times New Roman" w:cs="Times New Roman"/>
          <w:color w:val="000000"/>
          <w:sz w:val="24"/>
          <w:szCs w:val="24"/>
        </w:rPr>
        <w:t>Mystère.</w:t>
      </w:r>
      <w:r w:rsidR="00F02421" w:rsidRPr="00E7275B">
        <w:rPr>
          <w:rFonts w:ascii="ArialUnicodeMS" w:eastAsia="ArialUnicodeMS" w:cs="ArialUnicodeMS"/>
          <w:color w:val="6633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02421" w:rsidRDefault="00F02421" w:rsidP="00A2473A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663300"/>
          <w:sz w:val="18"/>
          <w:szCs w:val="18"/>
        </w:rPr>
      </w:pPr>
      <w:r w:rsidRPr="00A2473A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                                                            </w:t>
      </w:r>
    </w:p>
    <w:p w:rsidR="00D8224A" w:rsidRPr="006E6072" w:rsidRDefault="00D8224A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8"/>
          <w:szCs w:val="18"/>
        </w:rPr>
      </w:pPr>
      <w:r w:rsidRPr="006E6072">
        <w:rPr>
          <w:rFonts w:ascii="ArialUnicodeMS" w:eastAsia="ArialUnicodeMS" w:cs="ArialUnicodeMS"/>
          <w:color w:val="663300"/>
          <w:sz w:val="18"/>
          <w:szCs w:val="18"/>
        </w:rPr>
        <w:t xml:space="preserve">EXHORTATION   APOSTOLIQUE POST-SYNODALE </w:t>
      </w:r>
      <w:r w:rsidRPr="006E6072">
        <w:rPr>
          <w:rFonts w:ascii="ArialUnicodeMS" w:eastAsia="ArialUnicodeMS" w:cs="ArialUnicodeMS"/>
          <w:color w:val="663300"/>
          <w:sz w:val="18"/>
          <w:szCs w:val="18"/>
        </w:rPr>
        <w:t>« </w:t>
      </w:r>
      <w:r w:rsidRPr="006E6072">
        <w:rPr>
          <w:rFonts w:ascii="ArialUnicodeMS" w:eastAsia="ArialUnicodeMS" w:cs="ArialUnicodeMS"/>
          <w:color w:val="663300"/>
          <w:sz w:val="18"/>
          <w:szCs w:val="18"/>
        </w:rPr>
        <w:t>CHRISTUS VIVIT</w:t>
      </w:r>
      <w:r w:rsidRPr="006E6072">
        <w:rPr>
          <w:rFonts w:ascii="ArialUnicodeMS" w:eastAsia="ArialUnicodeMS" w:cs="ArialUnicodeMS"/>
          <w:color w:val="663300"/>
          <w:sz w:val="18"/>
          <w:szCs w:val="18"/>
        </w:rPr>
        <w:t> »</w:t>
      </w:r>
      <w:r w:rsidR="002B2DC8" w:rsidRPr="006E6072">
        <w:rPr>
          <w:rFonts w:ascii="ArialUnicodeMS" w:eastAsia="ArialUnicodeMS" w:cs="ArialUnicodeMS"/>
          <w:color w:val="663300"/>
          <w:sz w:val="18"/>
          <w:szCs w:val="18"/>
        </w:rPr>
        <w:t xml:space="preserve">, </w:t>
      </w:r>
      <w:r w:rsidR="002B2DC8" w:rsidRPr="006E6072">
        <w:rPr>
          <w:rFonts w:ascii="ArialUnicodeMS" w:eastAsia="ArialUnicodeMS" w:cs="ArialUnicodeMS"/>
          <w:i/>
          <w:color w:val="663300"/>
          <w:sz w:val="18"/>
          <w:szCs w:val="18"/>
        </w:rPr>
        <w:t>chapitre I</w:t>
      </w:r>
    </w:p>
    <w:p w:rsidR="002776DC" w:rsidRPr="002776DC" w:rsidRDefault="002776DC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6"/>
          <w:szCs w:val="16"/>
        </w:rPr>
      </w:pPr>
      <w:r>
        <w:rPr>
          <w:rFonts w:ascii="ArialUnicodeMS" w:eastAsia="ArialUnicodeMS" w:cs="ArialUnicodeMS"/>
          <w:i/>
          <w:color w:val="663300"/>
          <w:sz w:val="16"/>
          <w:szCs w:val="16"/>
        </w:rPr>
        <w:t>Que dit la Parole de Dieu sur les jeunes</w:t>
      </w:r>
    </w:p>
    <w:p w:rsidR="00680F9D" w:rsidRPr="00A17E32" w:rsidRDefault="00D8224A" w:rsidP="00A17E32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</w:rPr>
      </w:pPr>
      <w:r w:rsidRPr="00D8224A">
        <w:rPr>
          <w:rFonts w:ascii="ArialUnicodeMS" w:eastAsia="ArialUnicodeMS" w:cs="ArialUnicodeMS"/>
          <w:color w:val="663300"/>
          <w:sz w:val="18"/>
          <w:szCs w:val="18"/>
        </w:rPr>
        <w:t>DU SAINT-P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È</w:t>
      </w:r>
      <w:r>
        <w:rPr>
          <w:rFonts w:ascii="ArialUnicodeMS" w:eastAsia="ArialUnicodeMS" w:cs="ArialUnicodeMS"/>
          <w:color w:val="663300"/>
          <w:sz w:val="18"/>
          <w:szCs w:val="18"/>
        </w:rPr>
        <w:t>RE</w:t>
      </w:r>
      <w:r w:rsidR="002B2DC8">
        <w:rPr>
          <w:rFonts w:ascii="ArialUnicodeMS" w:eastAsia="ArialUnicodeMS" w:cs="ArialUnicodeMS"/>
          <w:color w:val="663300"/>
          <w:sz w:val="18"/>
          <w:szCs w:val="18"/>
        </w:rPr>
        <w:t xml:space="preserve"> 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>FRAN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Ç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>OIS</w:t>
      </w:r>
      <w:r w:rsidR="00A17E32">
        <w:rPr>
          <w:rFonts w:ascii="ArialUnicodeMS" w:eastAsia="ArialUnicodeMS" w:cs="ArialUnicodeMS"/>
          <w:color w:val="663300"/>
          <w:sz w:val="18"/>
          <w:szCs w:val="18"/>
        </w:rPr>
        <w:t xml:space="preserve"> 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 xml:space="preserve">AUX JEUNES ET 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À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 xml:space="preserve"> TOUT LE PEUPLE DE DIEU</w:t>
      </w:r>
    </w:p>
    <w:p w:rsidR="00CE42D7" w:rsidRDefault="009E09BE" w:rsidP="00A2473A">
      <w:pPr>
        <w:shd w:val="clear" w:color="auto" w:fill="FFFFFF"/>
        <w:spacing w:before="30" w:after="150" w:line="288" w:lineRule="atLeast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</w:pPr>
      <w:r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 xml:space="preserve"> </w:t>
      </w:r>
    </w:p>
    <w:p w:rsidR="00CE42D7" w:rsidRDefault="00A2473A" w:rsidP="00A2473A">
      <w:pPr>
        <w:shd w:val="clear" w:color="auto" w:fill="FFFFFF"/>
        <w:spacing w:before="30" w:after="150" w:line="288" w:lineRule="atLeast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</w:pPr>
      <w:r>
        <w:rPr>
          <w:rFonts w:ascii="Arial" w:eastAsia="Times New Roman" w:hAnsi="Arial" w:cs="Arial"/>
          <w:i/>
          <w:color w:val="538135" w:themeColor="accent6" w:themeShade="BF"/>
          <w:kern w:val="36"/>
          <w:sz w:val="40"/>
          <w:szCs w:val="40"/>
          <w:lang w:eastAsia="fr-FR"/>
        </w:rPr>
        <w:t xml:space="preserve">Mes Sœurs Jeunes et Agées, prions et croyons. </w:t>
      </w:r>
    </w:p>
    <w:p w:rsidR="00011558" w:rsidRPr="00CE42D7" w:rsidRDefault="00F5754E" w:rsidP="00A2473A">
      <w:pPr>
        <w:shd w:val="clear" w:color="auto" w:fill="FFFFFF"/>
        <w:spacing w:before="30" w:after="150" w:line="288" w:lineRule="atLeast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eastAsia="fr-FR"/>
        </w:rPr>
      </w:pPr>
      <w:r w:rsidRPr="00CE42D7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eastAsia="fr-FR"/>
        </w:rPr>
        <w:t>« </w:t>
      </w:r>
      <w:r w:rsidR="00A2473A" w:rsidRPr="00CE42D7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eastAsia="fr-FR"/>
        </w:rPr>
        <w:t>Dieu qui te créa sans toi, ne te sauvera pas sans toi !</w:t>
      </w:r>
      <w:r w:rsidRPr="00CE42D7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eastAsia="fr-FR"/>
        </w:rPr>
        <w:t> »</w:t>
      </w:r>
      <w:r w:rsidR="00A2473A" w:rsidRPr="00CE42D7">
        <w:rPr>
          <w:rFonts w:ascii="Arial" w:eastAsia="Times New Roman" w:hAnsi="Arial" w:cs="Arial"/>
          <w:i/>
          <w:color w:val="538135" w:themeColor="accent6" w:themeShade="BF"/>
          <w:kern w:val="36"/>
          <w:sz w:val="36"/>
          <w:szCs w:val="36"/>
          <w:lang w:eastAsia="fr-FR"/>
        </w:rPr>
        <w:t xml:space="preserve"> </w:t>
      </w:r>
    </w:p>
    <w:sectPr w:rsidR="00011558" w:rsidRPr="00CE42D7" w:rsidSect="00E7275B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11558"/>
    <w:rsid w:val="00066D68"/>
    <w:rsid w:val="000D5B34"/>
    <w:rsid w:val="001B5C30"/>
    <w:rsid w:val="001D5D00"/>
    <w:rsid w:val="00276E73"/>
    <w:rsid w:val="002776DC"/>
    <w:rsid w:val="002A3052"/>
    <w:rsid w:val="002B2DC8"/>
    <w:rsid w:val="00392D80"/>
    <w:rsid w:val="003B4852"/>
    <w:rsid w:val="00417784"/>
    <w:rsid w:val="00611E03"/>
    <w:rsid w:val="00680F9D"/>
    <w:rsid w:val="006E6072"/>
    <w:rsid w:val="00711F83"/>
    <w:rsid w:val="007544E5"/>
    <w:rsid w:val="009E09BE"/>
    <w:rsid w:val="00A0192D"/>
    <w:rsid w:val="00A17E32"/>
    <w:rsid w:val="00A2473A"/>
    <w:rsid w:val="00A55EB5"/>
    <w:rsid w:val="00B35665"/>
    <w:rsid w:val="00CE42D7"/>
    <w:rsid w:val="00D43104"/>
    <w:rsid w:val="00D5419A"/>
    <w:rsid w:val="00D71EFE"/>
    <w:rsid w:val="00D8224A"/>
    <w:rsid w:val="00E26E09"/>
    <w:rsid w:val="00E7275B"/>
    <w:rsid w:val="00F02421"/>
    <w:rsid w:val="00F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F9D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17E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Prions et approchons-nous des jeunes¡ </vt:lpstr>
      <vt:lpstr>Mystère.                                                                        </vt:lpstr>
      <vt:lpstr>Mes Sœurs Jeunes et Agées, prions et croyons. « Dieu qui te créa sans toi, ne t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40</cp:revision>
  <cp:lastPrinted>2019-03-28T10:47:00Z</cp:lastPrinted>
  <dcterms:created xsi:type="dcterms:W3CDTF">2019-01-27T16:32:00Z</dcterms:created>
  <dcterms:modified xsi:type="dcterms:W3CDTF">2020-02-27T10:53:00Z</dcterms:modified>
</cp:coreProperties>
</file>